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BABF6">
      <w:pPr>
        <w:rPr>
          <w:rFonts w:eastAsia="黑体"/>
          <w:sz w:val="30"/>
        </w:rPr>
      </w:pPr>
      <w:r>
        <w:rPr>
          <w:rFonts w:eastAsia="黑体"/>
          <w:sz w:val="20"/>
        </w:rPr>
        <w:pict>
          <v:shape id="_x0000_s1027" o:spid="_x0000_s1027" o:spt="136" type="#_x0000_t136" style="position:absolute;left:0pt;margin-left:-0.85pt;margin-top:71.1pt;height:71.3pt;width:425.85pt;mso-position-vertical-relative:page;z-index:-251657216;mso-width-relative:page;mso-height-relative:page;" fillcolor="#FF0000" filled="t" stroked="t" coordsize="21600,21600" o:allowoverlap="f">
            <v:path/>
            <v:fill on="t" focussize="0,0"/>
            <v:stroke color="#FF0000"/>
            <v:imagedata o:title=""/>
            <o:lock v:ext="edit"/>
            <v:textpath on="t" fitshape="t" fitpath="t" trim="t" xscale="f" string="泰州市电化教育馆" style="font-family:宋体;font-size:36pt;v-text-align:center;v-text-spacing:98304f;"/>
          </v:shape>
        </w:pict>
      </w:r>
    </w:p>
    <w:p w14:paraId="5C947BBA">
      <w:pPr>
        <w:jc w:val="center"/>
        <w:rPr>
          <w:rFonts w:eastAsia="黑体"/>
          <w:sz w:val="36"/>
        </w:rPr>
      </w:pPr>
    </w:p>
    <w:p w14:paraId="474E3FFB">
      <w:pPr>
        <w:rPr>
          <w:rFonts w:eastAsia="黑体"/>
          <w:sz w:val="28"/>
        </w:rPr>
      </w:pPr>
    </w:p>
    <w:p w14:paraId="6DA6FD9B">
      <w:pPr>
        <w:rPr>
          <w:rFonts w:eastAsia="黑体"/>
          <w:sz w:val="28"/>
        </w:rPr>
      </w:pPr>
    </w:p>
    <w:p w14:paraId="2BA8FFB4">
      <w:pPr>
        <w:jc w:val="center"/>
        <w:rPr>
          <w:rFonts w:ascii="仿宋_GB2312" w:hAnsi="仿宋" w:eastAsia="仿宋_GB2312"/>
          <w:sz w:val="32"/>
        </w:rPr>
      </w:pPr>
      <w:r>
        <w:rPr>
          <w:rFonts w:hint="eastAsia" w:ascii="仿宋_GB2312" w:hAnsi="仿宋" w:eastAsia="仿宋_GB2312"/>
          <w:sz w:val="32"/>
        </w:rPr>
        <w:t>泰电教〔20</w:t>
      </w:r>
      <w:r>
        <w:rPr>
          <w:rFonts w:ascii="仿宋_GB2312" w:hAnsi="仿宋" w:eastAsia="仿宋_GB2312"/>
          <w:sz w:val="32"/>
        </w:rPr>
        <w:t>25</w:t>
      </w:r>
      <w:r>
        <w:rPr>
          <w:rFonts w:hint="eastAsia" w:ascii="仿宋_GB2312" w:hAnsi="仿宋" w:eastAsia="仿宋_GB2312"/>
          <w:sz w:val="32"/>
        </w:rPr>
        <w:t>〕</w:t>
      </w:r>
      <w:r>
        <w:rPr>
          <w:rFonts w:hint="eastAsia" w:ascii="仿宋_GB2312" w:hAnsi="仿宋" w:eastAsia="仿宋_GB2312"/>
          <w:sz w:val="32"/>
          <w:lang w:val="en-US" w:eastAsia="zh-CN"/>
        </w:rPr>
        <w:t>7</w:t>
      </w:r>
      <w:r>
        <w:rPr>
          <w:rFonts w:hint="eastAsia" w:ascii="仿宋_GB2312" w:hAnsi="仿宋" w:eastAsia="仿宋_GB2312"/>
          <w:sz w:val="32"/>
        </w:rPr>
        <w:t>号</w:t>
      </w:r>
    </w:p>
    <w:p w14:paraId="5BCE120A">
      <w:pPr>
        <w:rPr>
          <w:rFonts w:eastAsia="黑体"/>
          <w:sz w:val="28"/>
        </w:rPr>
      </w:pPr>
      <w:r>
        <w:rPr>
          <w:rFonts w:hint="eastAsia" w:eastAsia="黑体"/>
          <w:color w:val="FF0000"/>
          <w:sz w:val="84"/>
          <w:u w:val="single"/>
        </w:rPr>
        <w:t xml:space="preserve">                      </w:t>
      </w:r>
      <w:r>
        <w:rPr>
          <w:rFonts w:hint="eastAsia" w:eastAsia="黑体"/>
          <w:color w:val="FF0000"/>
          <w:sz w:val="84"/>
        </w:rPr>
        <w:t xml:space="preserve">                                  </w:t>
      </w:r>
    </w:p>
    <w:p w14:paraId="51E20C37">
      <w:pPr>
        <w:spacing w:line="240" w:lineRule="atLeast"/>
        <w:jc w:val="center"/>
        <w:rPr>
          <w:rFonts w:eastAsia="黑体"/>
          <w:sz w:val="28"/>
        </w:rPr>
      </w:pPr>
      <w:r>
        <w:rPr>
          <w:rFonts w:hint="eastAsia" w:eastAsia="黑体"/>
          <w:color w:val="FF0000"/>
          <w:sz w:val="84"/>
          <w:szCs w:val="84"/>
        </w:rPr>
        <w:t xml:space="preserve">                                 </w:t>
      </w:r>
    </w:p>
    <w:p w14:paraId="291EAE23">
      <w:pPr>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关于实施全市中小学</w:t>
      </w:r>
    </w:p>
    <w:p w14:paraId="22100B4C">
      <w:pPr>
        <w:jc w:val="center"/>
        <w:rPr>
          <w:rFonts w:hint="default"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人工智能教育领航教师培养计划的通知</w:t>
      </w:r>
    </w:p>
    <w:p w14:paraId="1E075CC9">
      <w:pPr>
        <w:jc w:val="center"/>
        <w:rPr>
          <w:rFonts w:ascii="方正小标宋_GBK" w:eastAsia="方正小标宋_GBK"/>
          <w:sz w:val="36"/>
        </w:rPr>
      </w:pPr>
    </w:p>
    <w:p w14:paraId="46441BDF">
      <w:pPr>
        <w:keepNext w:val="0"/>
        <w:keepLines w:val="0"/>
        <w:pageBreakBefore w:val="0"/>
        <w:widowControl/>
        <w:kinsoku/>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各市</w:t>
      </w:r>
      <w:r>
        <w:rPr>
          <w:rFonts w:ascii="仿宋_GB2312" w:hAnsi="仿宋" w:eastAsia="仿宋_GB2312"/>
          <w:sz w:val="32"/>
          <w:szCs w:val="32"/>
        </w:rPr>
        <w:t>（</w:t>
      </w:r>
      <w:r>
        <w:rPr>
          <w:rFonts w:hint="eastAsia" w:ascii="仿宋_GB2312" w:hAnsi="仿宋" w:eastAsia="仿宋_GB2312"/>
          <w:sz w:val="32"/>
          <w:szCs w:val="32"/>
        </w:rPr>
        <w:t>区</w:t>
      </w:r>
      <w:r>
        <w:rPr>
          <w:rFonts w:ascii="仿宋_GB2312" w:hAnsi="仿宋" w:eastAsia="仿宋_GB2312"/>
          <w:sz w:val="32"/>
          <w:szCs w:val="32"/>
        </w:rPr>
        <w:t>）</w:t>
      </w:r>
      <w:r>
        <w:rPr>
          <w:rFonts w:hint="eastAsia" w:ascii="仿宋_GB2312" w:hAnsi="仿宋" w:eastAsia="仿宋_GB2312"/>
          <w:sz w:val="32"/>
          <w:szCs w:val="32"/>
        </w:rPr>
        <w:t>教育</w:t>
      </w:r>
      <w:r>
        <w:rPr>
          <w:rFonts w:ascii="仿宋_GB2312" w:hAnsi="仿宋" w:eastAsia="仿宋_GB2312"/>
          <w:sz w:val="32"/>
          <w:szCs w:val="32"/>
        </w:rPr>
        <w:t>局电教中心，市直</w:t>
      </w:r>
      <w:r>
        <w:rPr>
          <w:rFonts w:hint="eastAsia" w:ascii="仿宋_GB2312" w:hAnsi="仿宋" w:eastAsia="仿宋_GB2312"/>
          <w:sz w:val="32"/>
          <w:szCs w:val="32"/>
        </w:rPr>
        <w:t>各学校：</w:t>
      </w:r>
    </w:p>
    <w:p w14:paraId="39386E3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根据省教育信数中心《关于启动实施全省中小学人工智能教育领航教师培养计划的通知》（苏教信数〔2025〕14 号）精神，经研究，决定实施全市中小学人工智能教育领航教师培养计划，现将有关事项通知如下。</w:t>
      </w:r>
    </w:p>
    <w:p w14:paraId="18F6AF0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一、培养目标</w:t>
      </w:r>
    </w:p>
    <w:p w14:paraId="5258850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本项目为期三年（至2027年），旨在显著提升参培教师的数字素养与技能，推动人工智能在基础教育领域普遍应用，有效赋能学生的个性化学习、教师的专业化成长及学校治理数字化转型。具体目标如下。</w:t>
      </w:r>
    </w:p>
    <w:p w14:paraId="2A9D530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（一）培养30名左右师德师风高尚、数字素养高、跨学科整合能力强、创新活力足、示范引领效果佳的市级中小学人工智能教育领军人才。</w:t>
      </w:r>
    </w:p>
    <w:p w14:paraId="72DD2F7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（二）孵化50＋教育数字化转型优秀实践成果：包括但不限于优质课程资源、融合创新应用案例、特色应用场景等。</w:t>
      </w:r>
    </w:p>
    <w:p w14:paraId="0DB48B6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（三）示范带动一大批中小学教师开展人工智能教育创新实践；能带领不少于3人的团队，完成1个经区级以上教育部门认定的跨学科创新应用案例。</w:t>
      </w:r>
    </w:p>
    <w:p w14:paraId="41F9111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二、培养对象</w:t>
      </w:r>
    </w:p>
    <w:p w14:paraId="363B98D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（一）申报条件</w:t>
      </w:r>
    </w:p>
    <w:p w14:paraId="5CE8BFA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1.申报人员须为我市基础教育阶段学校、教师发展机构、教科研机构等单位在职在岗中级及以上教师，年龄原则上不超过</w:t>
      </w:r>
      <w:r>
        <w:rPr>
          <w:rFonts w:hint="default" w:ascii="仿宋_GB2312" w:hAnsi="仿宋_GB2312" w:eastAsia="仿宋_GB2312" w:cs="仿宋_GB2312"/>
          <w:sz w:val="32"/>
          <w:szCs w:val="40"/>
          <w:lang w:val="en-US" w:eastAsia="zh-CN"/>
        </w:rPr>
        <w:t>45</w:t>
      </w:r>
      <w:r>
        <w:rPr>
          <w:rFonts w:hint="eastAsia" w:ascii="仿宋_GB2312" w:hAnsi="仿宋_GB2312" w:eastAsia="仿宋_GB2312" w:cs="仿宋_GB2312"/>
          <w:sz w:val="32"/>
          <w:szCs w:val="40"/>
          <w:lang w:val="en-US" w:eastAsia="zh-CN"/>
        </w:rPr>
        <w:t>周岁。</w:t>
      </w:r>
    </w:p>
    <w:p w14:paraId="7EC03DA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2.申报人员应具备良好的师德修养，突出的工作业绩，过硬的数字素养，较强的改革创新和团队合作精神。</w:t>
      </w:r>
    </w:p>
    <w:p w14:paraId="6055BE3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3.申报人员还应至少具备以下任一条件：</w:t>
      </w:r>
    </w:p>
    <w:p w14:paraId="42F28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（1）任省级网络名师工作室领衔教师或核心教师，或为省名师空中课堂平台突出贡献主讲老师。</w:t>
      </w:r>
    </w:p>
    <w:p w14:paraId="506B19C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（2）在泰州市信息化教学优质课大赛等市级以上大赛获一等奖及以上。</w:t>
      </w:r>
    </w:p>
    <w:p w14:paraId="3293617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val="en-US" w:eastAsia="zh-CN"/>
        </w:rPr>
        <w:t>）主持教育信息化相关省级以上课题，或市级以上教科研、教育科学规划重大课题或获市级以上教学成果奖。</w:t>
      </w:r>
    </w:p>
    <w:p w14:paraId="5E6C44D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val="en-US" w:eastAsia="zh-CN"/>
        </w:rPr>
        <w:t>）参与教育技术新应用的研究、实践探索和推广工作，在人工智能深度应用方面有显著突破。</w:t>
      </w:r>
    </w:p>
    <w:p w14:paraId="092DB10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（二）推荐程序</w:t>
      </w:r>
    </w:p>
    <w:p w14:paraId="2B5086A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推荐工作坚持师德师风优先、育人实绩优先、吃苦奉献优先、发展潜力优先原则，包含个人申报、市（区）推荐、市级审核三个程序。</w:t>
      </w:r>
    </w:p>
    <w:p w14:paraId="59CBD2E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个人申报。各单位要广泛宣传，通知符合条件的人员于2025年8月31日前登录泰州智慧教育云平台，进入“作品展评”系统进行线上申报，按要求规范上传培养对象申报表（单位要盖章同意）及相关佐证材料电子稿。</w:t>
      </w:r>
    </w:p>
    <w:p w14:paraId="2ABE3E4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2.市（区）推荐。各市（区）教育局进行线上初审，确定推荐人员，每市（区）不少于</w:t>
      </w:r>
      <w:r>
        <w:rPr>
          <w:rFonts w:hint="default"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lang w:val="en-US" w:eastAsia="zh-CN"/>
        </w:rPr>
        <w:t>人，其中乡村教师不少于</w:t>
      </w:r>
      <w:r>
        <w:rPr>
          <w:rFonts w:hint="default"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val="en-US" w:eastAsia="zh-CN"/>
        </w:rPr>
        <w:t>人。市直学校每校推荐不少于1人。</w:t>
      </w:r>
    </w:p>
    <w:p w14:paraId="4D2874A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3.市级审核。市电化教育馆组织专家团队对申报人员进行审核，前8名推荐参加省级培养计划，另确定30名左右市级培养对象，经公示无异议后发文公布。</w:t>
      </w:r>
    </w:p>
    <w:p w14:paraId="2B7AFE6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三、培养方式</w:t>
      </w:r>
    </w:p>
    <w:p w14:paraId="6C82DF2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市电化教育馆协调电教、教研、教师发展中心和高校等资源，分学科、分方向配备专家团队，制定适切的培养方案，组织培养对象到人工智能教育先进地区或学校进行研学，学习先进经验与做法，拓宽教育视野。定期组织线上线下专题研修活动，帮助培养对象提升人工智能素养和实践创新能力，总结数智化教学实践中的优秀案例、典型模式和创新成果，形成可推广、可复制的经验。</w:t>
      </w:r>
    </w:p>
    <w:p w14:paraId="4C9D968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四、效果评价</w:t>
      </w:r>
    </w:p>
    <w:p w14:paraId="27BF31F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年培养期满，基于自我评价、专家评价及过程性数据，对培养对象的学习进展与实践成果进行综合评价。评价结果分为合格、不合格。对评价为合格的培养对象，纳入市级教育信息化专家库。优秀实践成果将在市内宣传推广，并推荐参评省级、国家级相关奖项。对于其中进展成效不明显、评价为不合格的培养对象实行退出机制。</w:t>
      </w:r>
    </w:p>
    <w:p w14:paraId="2264AD0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五、工作要求</w:t>
      </w:r>
    </w:p>
    <w:p w14:paraId="4AFFD97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各单位要高度重视，严格依照条件和程序推荐培养对象，于2025年9月8日前将工作联系人回执（附件1）、推荐人选汇总表（附件2）、培养对象申报表（附件3）盖章后报市电化教育馆，同时将附件1、2的电子稿发联系人邮箱。</w:t>
      </w:r>
    </w:p>
    <w:p w14:paraId="3752B00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（二）各单位要按照工作要求，落实选、育、评等主体责任，为领航教师成长提供良好环境与必要条件，将相关工作量和成果作为绩效评价、职称评审、职务晋升等方面的重要参考，确保培养计划高质量实施。</w:t>
      </w:r>
    </w:p>
    <w:p w14:paraId="41F4F1A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联系人：市电化教育馆 顾惠君，联系电话：86999878，邮箱：474210092@qq.com。</w:t>
      </w:r>
    </w:p>
    <w:p w14:paraId="169B2EA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02375BE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附件：1.各单位教育信息化管理部门联系人回执</w:t>
      </w:r>
    </w:p>
    <w:p w14:paraId="6114751A">
      <w:pPr>
        <w:keepNext w:val="0"/>
        <w:keepLines w:val="0"/>
        <w:pageBreakBefore w:val="0"/>
        <w:kinsoku/>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2.全市中小学人工智能教育领航教师培养计划培养对象推荐人选汇总表</w:t>
      </w:r>
    </w:p>
    <w:p w14:paraId="09B036A1">
      <w:pPr>
        <w:keepNext w:val="0"/>
        <w:keepLines w:val="0"/>
        <w:pageBreakBefore w:val="0"/>
        <w:kinsoku/>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3.中小学人工智能教育领航教师培养计划培养对象申报表（可在“作品展评”系统下载）</w:t>
      </w:r>
    </w:p>
    <w:p w14:paraId="4710BF3A">
      <w:pPr>
        <w:keepNext w:val="0"/>
        <w:keepLines w:val="0"/>
        <w:pageBreakBefore w:val="0"/>
        <w:kinsoku/>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40"/>
          <w:lang w:val="en-US" w:eastAsia="zh-CN"/>
        </w:rPr>
      </w:pPr>
    </w:p>
    <w:p w14:paraId="1D03A268">
      <w:pPr>
        <w:keepNext w:val="0"/>
        <w:keepLines w:val="0"/>
        <w:pageBreakBefore w:val="0"/>
        <w:kinsoku/>
        <w:wordWrap w:val="0"/>
        <w:overflowPunct/>
        <w:topLinePunct w:val="0"/>
        <w:autoSpaceDE/>
        <w:autoSpaceDN/>
        <w:bidi w:val="0"/>
        <w:adjustRightInd/>
        <w:snapToGrid/>
        <w:spacing w:line="240" w:lineRule="auto"/>
        <w:ind w:left="1916" w:leftChars="760" w:hanging="320" w:hangingChars="100"/>
        <w:jc w:val="right"/>
        <w:textAlignment w:val="auto"/>
        <w:rPr>
          <w:rFonts w:hint="eastAsia" w:ascii="仿宋_GB2312" w:hAnsi="仿宋_GB2312" w:eastAsia="仿宋_GB2312" w:cs="仿宋_GB2312"/>
          <w:sz w:val="32"/>
          <w:szCs w:val="40"/>
          <w:lang w:val="en-US" w:eastAsia="zh-CN"/>
        </w:rPr>
      </w:pPr>
    </w:p>
    <w:p w14:paraId="70DE42E6">
      <w:pPr>
        <w:keepNext w:val="0"/>
        <w:keepLines w:val="0"/>
        <w:pageBreakBefore w:val="0"/>
        <w:kinsoku/>
        <w:wordWrap w:val="0"/>
        <w:overflowPunct/>
        <w:topLinePunct w:val="0"/>
        <w:autoSpaceDE/>
        <w:autoSpaceDN/>
        <w:bidi w:val="0"/>
        <w:adjustRightInd/>
        <w:snapToGrid/>
        <w:spacing w:line="560" w:lineRule="exact"/>
        <w:ind w:left="1916" w:leftChars="760" w:hanging="320" w:hangingChars="100"/>
        <w:jc w:val="right"/>
        <w:textAlignment w:val="auto"/>
        <w:rPr>
          <w:rFonts w:hint="eastAsia" w:ascii="仿宋_GB2312" w:hAnsi="仿宋_GB2312" w:eastAsia="仿宋_GB2312" w:cs="仿宋_GB2312"/>
          <w:sz w:val="32"/>
          <w:szCs w:val="40"/>
          <w:lang w:val="en-US" w:eastAsia="zh-CN"/>
        </w:rPr>
      </w:pPr>
      <w:bookmarkStart w:id="0" w:name="_GoBack"/>
      <w:bookmarkEnd w:id="0"/>
    </w:p>
    <w:p w14:paraId="3C270042">
      <w:pPr>
        <w:keepNext w:val="0"/>
        <w:keepLines w:val="0"/>
        <w:pageBreakBefore w:val="0"/>
        <w:kinsoku/>
        <w:wordWrap w:val="0"/>
        <w:overflowPunct/>
        <w:topLinePunct w:val="0"/>
        <w:autoSpaceDE/>
        <w:autoSpaceDN/>
        <w:bidi w:val="0"/>
        <w:adjustRightInd/>
        <w:snapToGrid/>
        <w:spacing w:line="560" w:lineRule="exact"/>
        <w:ind w:left="1916" w:leftChars="760" w:hanging="320" w:hangingChars="100"/>
        <w:jc w:val="right"/>
        <w:textAlignment w:val="auto"/>
        <w:rPr>
          <w:rFonts w:hint="eastAsia" w:ascii="仿宋_GB2312" w:hAnsi="仿宋_GB2312" w:eastAsia="仿宋_GB2312" w:cs="仿宋_GB2312"/>
          <w:sz w:val="32"/>
          <w:szCs w:val="40"/>
          <w:lang w:val="en-US" w:eastAsia="zh-CN"/>
        </w:rPr>
      </w:pPr>
    </w:p>
    <w:p w14:paraId="441435D3">
      <w:pPr>
        <w:keepNext w:val="0"/>
        <w:keepLines w:val="0"/>
        <w:pageBreakBefore w:val="0"/>
        <w:kinsoku/>
        <w:wordWrap w:val="0"/>
        <w:overflowPunct/>
        <w:topLinePunct w:val="0"/>
        <w:autoSpaceDE/>
        <w:autoSpaceDN/>
        <w:bidi w:val="0"/>
        <w:adjustRightInd/>
        <w:snapToGrid/>
        <w:spacing w:line="560" w:lineRule="exact"/>
        <w:ind w:left="1916" w:leftChars="760" w:hanging="320" w:hangingChars="100"/>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泰州市电化教育馆    </w:t>
      </w:r>
    </w:p>
    <w:p w14:paraId="77E8FF8D">
      <w:pPr>
        <w:keepNext w:val="0"/>
        <w:keepLines w:val="0"/>
        <w:pageBreakBefore w:val="0"/>
        <w:kinsoku/>
        <w:overflowPunct/>
        <w:topLinePunct w:val="0"/>
        <w:autoSpaceDE/>
        <w:autoSpaceDN/>
        <w:bidi w:val="0"/>
        <w:adjustRightInd/>
        <w:snapToGrid/>
        <w:spacing w:line="560" w:lineRule="exact"/>
        <w:ind w:right="640" w:firstLine="640" w:firstLineChars="200"/>
        <w:jc w:val="right"/>
        <w:textAlignment w:val="auto"/>
        <w:rPr>
          <w:rFonts w:ascii="黑体" w:hAnsi="黑体" w:eastAsia="黑体"/>
          <w:sz w:val="32"/>
          <w:szCs w:val="32"/>
        </w:rPr>
      </w:pPr>
      <w:r>
        <w:rPr>
          <w:rFonts w:hint="eastAsia" w:ascii="仿宋_GB2312" w:hAnsi="仿宋_GB2312" w:eastAsia="仿宋_GB2312" w:cs="仿宋_GB2312"/>
          <w:sz w:val="32"/>
          <w:szCs w:val="40"/>
          <w:lang w:val="en-US" w:eastAsia="zh-CN"/>
        </w:rPr>
        <w:t>2025年8月20日</w:t>
      </w:r>
    </w:p>
    <w:sectPr>
      <w:footerReference r:id="rId3" w:type="first"/>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6A20">
    <w:pPr>
      <w:pStyle w:val="5"/>
      <w:jc w:val="center"/>
    </w:pPr>
  </w:p>
  <w:p w14:paraId="2EDDBC0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34"/>
    <w:rsid w:val="00004370"/>
    <w:rsid w:val="0007467E"/>
    <w:rsid w:val="00084092"/>
    <w:rsid w:val="00097C29"/>
    <w:rsid w:val="000A27AF"/>
    <w:rsid w:val="000B43EC"/>
    <w:rsid w:val="000B5D01"/>
    <w:rsid w:val="000E08F1"/>
    <w:rsid w:val="000E4AE8"/>
    <w:rsid w:val="000E4CFD"/>
    <w:rsid w:val="000F150D"/>
    <w:rsid w:val="00105149"/>
    <w:rsid w:val="00113930"/>
    <w:rsid w:val="00145C5F"/>
    <w:rsid w:val="00153602"/>
    <w:rsid w:val="00165655"/>
    <w:rsid w:val="00167585"/>
    <w:rsid w:val="00192489"/>
    <w:rsid w:val="00197FDD"/>
    <w:rsid w:val="001A6A44"/>
    <w:rsid w:val="001A7C33"/>
    <w:rsid w:val="001D78AB"/>
    <w:rsid w:val="001E7A75"/>
    <w:rsid w:val="001F44F9"/>
    <w:rsid w:val="00201430"/>
    <w:rsid w:val="00205B3C"/>
    <w:rsid w:val="00214AAB"/>
    <w:rsid w:val="00222C4B"/>
    <w:rsid w:val="0022425C"/>
    <w:rsid w:val="00232E77"/>
    <w:rsid w:val="00243E86"/>
    <w:rsid w:val="00246839"/>
    <w:rsid w:val="002B3253"/>
    <w:rsid w:val="002B59B4"/>
    <w:rsid w:val="002F0D66"/>
    <w:rsid w:val="00302984"/>
    <w:rsid w:val="0030650E"/>
    <w:rsid w:val="00353286"/>
    <w:rsid w:val="0037062A"/>
    <w:rsid w:val="003773D9"/>
    <w:rsid w:val="003872BA"/>
    <w:rsid w:val="003C1985"/>
    <w:rsid w:val="003C62F1"/>
    <w:rsid w:val="003D52BF"/>
    <w:rsid w:val="003D56CC"/>
    <w:rsid w:val="003E1415"/>
    <w:rsid w:val="003F6BE7"/>
    <w:rsid w:val="00403A89"/>
    <w:rsid w:val="00426962"/>
    <w:rsid w:val="00434A35"/>
    <w:rsid w:val="00437421"/>
    <w:rsid w:val="004506EC"/>
    <w:rsid w:val="0045483D"/>
    <w:rsid w:val="00466E17"/>
    <w:rsid w:val="00482CF0"/>
    <w:rsid w:val="00496464"/>
    <w:rsid w:val="004A6C96"/>
    <w:rsid w:val="004D1D07"/>
    <w:rsid w:val="004D3605"/>
    <w:rsid w:val="004E1D78"/>
    <w:rsid w:val="004F0A2C"/>
    <w:rsid w:val="005103AC"/>
    <w:rsid w:val="00554197"/>
    <w:rsid w:val="0056001E"/>
    <w:rsid w:val="00564982"/>
    <w:rsid w:val="00582799"/>
    <w:rsid w:val="005861B0"/>
    <w:rsid w:val="005878AC"/>
    <w:rsid w:val="005A57F7"/>
    <w:rsid w:val="005C3B44"/>
    <w:rsid w:val="005E2358"/>
    <w:rsid w:val="00624FFC"/>
    <w:rsid w:val="00627D9A"/>
    <w:rsid w:val="006827B9"/>
    <w:rsid w:val="00693B5E"/>
    <w:rsid w:val="006A153D"/>
    <w:rsid w:val="006B2D7F"/>
    <w:rsid w:val="006E2866"/>
    <w:rsid w:val="00705F10"/>
    <w:rsid w:val="0071552B"/>
    <w:rsid w:val="00741A34"/>
    <w:rsid w:val="00756944"/>
    <w:rsid w:val="00763411"/>
    <w:rsid w:val="007A129B"/>
    <w:rsid w:val="007A2947"/>
    <w:rsid w:val="007C47D9"/>
    <w:rsid w:val="007F079C"/>
    <w:rsid w:val="00871307"/>
    <w:rsid w:val="00874C87"/>
    <w:rsid w:val="00880A61"/>
    <w:rsid w:val="00891677"/>
    <w:rsid w:val="008E7317"/>
    <w:rsid w:val="00913BB4"/>
    <w:rsid w:val="00924358"/>
    <w:rsid w:val="00973A5A"/>
    <w:rsid w:val="00995764"/>
    <w:rsid w:val="009A0F97"/>
    <w:rsid w:val="009B2408"/>
    <w:rsid w:val="009B4040"/>
    <w:rsid w:val="009C64A0"/>
    <w:rsid w:val="009E5010"/>
    <w:rsid w:val="009F1BE7"/>
    <w:rsid w:val="00A076D9"/>
    <w:rsid w:val="00A10D88"/>
    <w:rsid w:val="00A20947"/>
    <w:rsid w:val="00A26DD5"/>
    <w:rsid w:val="00A420EA"/>
    <w:rsid w:val="00A668E7"/>
    <w:rsid w:val="00A71325"/>
    <w:rsid w:val="00A807B9"/>
    <w:rsid w:val="00A96E01"/>
    <w:rsid w:val="00AA2706"/>
    <w:rsid w:val="00AB0858"/>
    <w:rsid w:val="00AF2395"/>
    <w:rsid w:val="00B14F10"/>
    <w:rsid w:val="00B6374C"/>
    <w:rsid w:val="00B6643F"/>
    <w:rsid w:val="00B67A94"/>
    <w:rsid w:val="00B71785"/>
    <w:rsid w:val="00B76AC2"/>
    <w:rsid w:val="00B774B2"/>
    <w:rsid w:val="00B81FAA"/>
    <w:rsid w:val="00B916B5"/>
    <w:rsid w:val="00B91C73"/>
    <w:rsid w:val="00B94C1B"/>
    <w:rsid w:val="00BA3318"/>
    <w:rsid w:val="00BB4430"/>
    <w:rsid w:val="00BB7259"/>
    <w:rsid w:val="00BD406F"/>
    <w:rsid w:val="00C133E1"/>
    <w:rsid w:val="00C407A6"/>
    <w:rsid w:val="00C47BD3"/>
    <w:rsid w:val="00C50D37"/>
    <w:rsid w:val="00C574F6"/>
    <w:rsid w:val="00C60646"/>
    <w:rsid w:val="00C63E7B"/>
    <w:rsid w:val="00C712F7"/>
    <w:rsid w:val="00C867B7"/>
    <w:rsid w:val="00C87327"/>
    <w:rsid w:val="00C92246"/>
    <w:rsid w:val="00CB12B9"/>
    <w:rsid w:val="00CB2C10"/>
    <w:rsid w:val="00CC5CD1"/>
    <w:rsid w:val="00CC673B"/>
    <w:rsid w:val="00D065B6"/>
    <w:rsid w:val="00D203C4"/>
    <w:rsid w:val="00D31529"/>
    <w:rsid w:val="00D34090"/>
    <w:rsid w:val="00D449B4"/>
    <w:rsid w:val="00D568C5"/>
    <w:rsid w:val="00D7509A"/>
    <w:rsid w:val="00D85197"/>
    <w:rsid w:val="00DD478A"/>
    <w:rsid w:val="00DE50EC"/>
    <w:rsid w:val="00DE6A35"/>
    <w:rsid w:val="00E31A92"/>
    <w:rsid w:val="00E3725A"/>
    <w:rsid w:val="00E41172"/>
    <w:rsid w:val="00E76360"/>
    <w:rsid w:val="00E83B4F"/>
    <w:rsid w:val="00E84BFB"/>
    <w:rsid w:val="00E84E01"/>
    <w:rsid w:val="00EB78EB"/>
    <w:rsid w:val="00ED05CE"/>
    <w:rsid w:val="00EE2B27"/>
    <w:rsid w:val="00EE74B4"/>
    <w:rsid w:val="00EE7D93"/>
    <w:rsid w:val="00F22AB8"/>
    <w:rsid w:val="00F30A69"/>
    <w:rsid w:val="00F35AD2"/>
    <w:rsid w:val="00F617D5"/>
    <w:rsid w:val="00F714A2"/>
    <w:rsid w:val="00F87D52"/>
    <w:rsid w:val="00F87F3F"/>
    <w:rsid w:val="00FD1F37"/>
    <w:rsid w:val="00FD222B"/>
    <w:rsid w:val="00FF39E4"/>
    <w:rsid w:val="0CA11DC5"/>
    <w:rsid w:val="24F609D1"/>
    <w:rsid w:val="3D5974A4"/>
    <w:rsid w:val="41361D0A"/>
    <w:rsid w:val="43EA5DA3"/>
    <w:rsid w:val="756A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2 Char"/>
    <w:basedOn w:val="9"/>
    <w:link w:val="3"/>
    <w:qFormat/>
    <w:uiPriority w:val="99"/>
    <w:rPr>
      <w:rFonts w:ascii="Cambria" w:hAnsi="Cambria" w:eastAsia="宋体" w:cs="Times New Roman"/>
      <w:b/>
      <w:bCs/>
      <w:sz w:val="32"/>
      <w:szCs w:val="32"/>
    </w:rPr>
  </w:style>
  <w:style w:type="character" w:customStyle="1" w:styleId="12">
    <w:name w:val="页脚 Char"/>
    <w:basedOn w:val="9"/>
    <w:link w:val="5"/>
    <w:qFormat/>
    <w:uiPriority w:val="99"/>
    <w:rPr>
      <w:rFonts w:ascii="Calibri" w:hAnsi="Calibri" w:eastAsia="宋体" w:cs="黑体"/>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页眉 Char"/>
    <w:basedOn w:val="9"/>
    <w:link w:val="6"/>
    <w:qFormat/>
    <w:uiPriority w:val="99"/>
    <w:rPr>
      <w:sz w:val="18"/>
      <w:szCs w:val="18"/>
    </w:rPr>
  </w:style>
  <w:style w:type="character" w:customStyle="1" w:styleId="15">
    <w:name w:val="标题 1 Char"/>
    <w:basedOn w:val="9"/>
    <w:link w:val="2"/>
    <w:qFormat/>
    <w:uiPriority w:val="9"/>
    <w:rPr>
      <w:b/>
      <w:bCs/>
      <w:kern w:val="44"/>
      <w:sz w:val="44"/>
      <w:szCs w:val="44"/>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character" w:customStyle="1" w:styleId="17">
    <w:name w:val="批注框文本 Char"/>
    <w:basedOn w:val="9"/>
    <w:link w:val="4"/>
    <w:semiHidden/>
    <w:qFormat/>
    <w:uiPriority w:val="99"/>
    <w:rPr>
      <w:sz w:val="18"/>
      <w:szCs w:val="18"/>
    </w:rPr>
  </w:style>
  <w:style w:type="table" w:customStyle="1" w:styleId="18">
    <w:name w:val="网格型1"/>
    <w:basedOn w:val="7"/>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1678</Words>
  <Characters>1735</Characters>
  <Lines>7</Lines>
  <Paragraphs>2</Paragraphs>
  <TotalTime>2</TotalTime>
  <ScaleCrop>false</ScaleCrop>
  <LinksUpToDate>false</LinksUpToDate>
  <CharactersWithSpaces>1830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2023-01-30T01:53:00Z</dcterms:created>
  <dc:creator>顾惠君</dc:creator>
  <cp:lastModifiedBy>顾惠君</cp:lastModifiedBy>
  <cp:lastPrinted>2024-02-20T07:31:00Z</cp:lastPrinted>
  <dcterms:modified xsi:type="dcterms:W3CDTF">2025-08-20T02:26:09Z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eyJoZGlkIjoiNDA1ZTAzOGE0YjI5ODNjOGZmNDY0M2RjZmJkZGY3MjkiLCJ1c2VySWQiOiIxNjY0OTEwODUyIn0=</vt:lpwstr>
  </property>
  <property fmtid="{D5CDD505-2E9C-101B-9397-08002B2CF9AE}" pid="3" name="KSOProductBuildVer">
    <vt:lpwstr>2052-12.1.0.21915</vt:lpwstr>
  </property>
  <property fmtid="{D5CDD505-2E9C-101B-9397-08002B2CF9AE}" pid="4" name="ICV">
    <vt:lpwstr>74D86075100A4C42A98F2D9E36C04B67_13</vt:lpwstr>
  </property>
</Properties>
</file>