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20"/>
        <w:jc w:val="center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城东小学春晖校区音乐教室学凳采购需求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规格：六面体结构，表面光滑。竖高、侧高、平高为410mm×300mm×250mm（正负允许偏离5mm）。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材质：E1级优质细密板材，厚度为：12mm，各面的连接处贴宽度为23mm厚度为2mm的直角软质PVC封边条。内置日字型镀锌钢架，钢架管为：尺寸25*25*0.8mm（甲醛检测达标）。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要求：各面的角采用25*25mm龄合型软质防滑八角保护扣。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颜色：红、绿、蓝三色。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5.数量：50张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24860" cy="4182110"/>
            <wp:effectExtent l="0" t="0" r="8890" b="8890"/>
            <wp:docPr id="1" name="图片 1" descr="408AED5DFEE166570AB50BD134E7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8AED5DFEE166570AB50BD134E702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30D94"/>
    <w:rsid w:val="731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2020-07-24T03:08:00Z</dcterms:created>
  <dc:creator>暗夜枪骑兵</dc:creator>
  <cp:lastModifiedBy>暗夜枪骑兵</cp:lastModifiedBy>
  <dcterms:modified xsi:type="dcterms:W3CDTF">2020-07-24T03:11:16Z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